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BE" w:rsidRDefault="00FA12BE" w:rsidP="00FA12BE">
      <w:pPr>
        <w:spacing w:after="0" w:line="360" w:lineRule="auto"/>
      </w:pPr>
      <w:r>
        <w:t>Skills and Services</w:t>
      </w:r>
    </w:p>
    <w:p w:rsidR="00FA12BE" w:rsidRPr="00FA12BE" w:rsidRDefault="00FA12BE" w:rsidP="00FA12BE">
      <w:pPr>
        <w:spacing w:after="0" w:line="240" w:lineRule="auto"/>
      </w:pPr>
      <w:r w:rsidRPr="00FA12BE">
        <w:t>●</w:t>
      </w:r>
      <w:r w:rsidRPr="00FA12BE">
        <w:tab/>
        <w:t>Analytical Development</w:t>
      </w:r>
    </w:p>
    <w:p w:rsidR="00FA12BE" w:rsidRPr="00FA12BE" w:rsidRDefault="00FA12BE" w:rsidP="00FA12BE">
      <w:pPr>
        <w:spacing w:after="0" w:line="240" w:lineRule="auto"/>
        <w:rPr>
          <w:u w:val="single"/>
        </w:rPr>
      </w:pPr>
      <w:r w:rsidRPr="00FA12BE">
        <w:tab/>
      </w:r>
      <w:r w:rsidRPr="00FA12BE">
        <w:rPr>
          <w:u w:val="single"/>
        </w:rPr>
        <w:t>HPLC</w:t>
      </w:r>
    </w:p>
    <w:p w:rsidR="00FA12BE" w:rsidRPr="00FA12BE" w:rsidRDefault="00FA12BE" w:rsidP="00FA12BE">
      <w:pPr>
        <w:spacing w:after="0" w:line="240" w:lineRule="auto"/>
      </w:pPr>
      <w:r w:rsidRPr="00FA12BE">
        <w:tab/>
      </w:r>
      <w:r w:rsidRPr="00FA12BE">
        <w:tab/>
      </w:r>
      <w:proofErr w:type="spellStart"/>
      <w:r w:rsidRPr="00FA12BE">
        <w:t>Cation</w:t>
      </w:r>
      <w:proofErr w:type="spellEnd"/>
      <w:r w:rsidRPr="00FA12BE">
        <w:t xml:space="preserve"> and Anion Exchange Chromatography</w:t>
      </w:r>
    </w:p>
    <w:p w:rsidR="00FA12BE" w:rsidRPr="00FA12BE" w:rsidRDefault="00FA12BE" w:rsidP="00FA12BE">
      <w:pPr>
        <w:spacing w:after="0" w:line="240" w:lineRule="auto"/>
      </w:pPr>
      <w:r w:rsidRPr="00FA12BE">
        <w:tab/>
      </w:r>
      <w:r w:rsidRPr="00FA12BE">
        <w:tab/>
        <w:t>Size Exclusion Chromatography</w:t>
      </w:r>
    </w:p>
    <w:p w:rsidR="00FA12BE" w:rsidRPr="00FA12BE" w:rsidRDefault="00FA12BE" w:rsidP="00FA12BE">
      <w:pPr>
        <w:spacing w:after="0" w:line="240" w:lineRule="auto"/>
      </w:pPr>
      <w:r w:rsidRPr="00FA12BE">
        <w:tab/>
      </w:r>
      <w:r w:rsidRPr="00FA12BE">
        <w:tab/>
        <w:t>Surfactant Analysis with Fluorescence Detection</w:t>
      </w:r>
    </w:p>
    <w:p w:rsidR="00FA12BE" w:rsidRPr="00FA12BE" w:rsidRDefault="00FA12BE" w:rsidP="00FA12BE">
      <w:pPr>
        <w:spacing w:after="0" w:line="240" w:lineRule="auto"/>
        <w:rPr>
          <w:u w:val="single"/>
        </w:rPr>
      </w:pPr>
      <w:r w:rsidRPr="00FA12BE">
        <w:tab/>
      </w:r>
      <w:r w:rsidRPr="00FA12BE">
        <w:rPr>
          <w:u w:val="single"/>
        </w:rPr>
        <w:t>Capillary Electrophoresis</w:t>
      </w:r>
    </w:p>
    <w:p w:rsidR="00FA12BE" w:rsidRPr="00FA12BE" w:rsidRDefault="00FA12BE" w:rsidP="00FA12BE">
      <w:pPr>
        <w:spacing w:after="0" w:line="240" w:lineRule="auto"/>
      </w:pPr>
      <w:r w:rsidRPr="00FA12BE">
        <w:tab/>
      </w:r>
      <w:r w:rsidRPr="00FA12BE">
        <w:tab/>
        <w:t>SDS-CGE</w:t>
      </w:r>
    </w:p>
    <w:p w:rsidR="00FA12BE" w:rsidRPr="00FA12BE" w:rsidRDefault="00FA12BE" w:rsidP="00FA12BE">
      <w:pPr>
        <w:spacing w:after="0" w:line="240" w:lineRule="auto"/>
      </w:pPr>
      <w:r w:rsidRPr="00FA12BE">
        <w:tab/>
      </w:r>
      <w:r w:rsidRPr="00FA12BE">
        <w:tab/>
      </w:r>
      <w:proofErr w:type="spellStart"/>
      <w:proofErr w:type="gramStart"/>
      <w:r w:rsidRPr="00FA12BE">
        <w:t>cIEF</w:t>
      </w:r>
      <w:proofErr w:type="spellEnd"/>
      <w:proofErr w:type="gramEnd"/>
    </w:p>
    <w:p w:rsidR="00FA12BE" w:rsidRPr="00FA12BE" w:rsidRDefault="00FA12BE" w:rsidP="00FA12BE">
      <w:pPr>
        <w:spacing w:after="0" w:line="240" w:lineRule="auto"/>
        <w:rPr>
          <w:u w:val="single"/>
        </w:rPr>
      </w:pPr>
      <w:r w:rsidRPr="00FA12BE">
        <w:tab/>
      </w:r>
      <w:r w:rsidRPr="00FA12BE">
        <w:rPr>
          <w:u w:val="single"/>
        </w:rPr>
        <w:t>Enzyme Assays</w:t>
      </w:r>
    </w:p>
    <w:p w:rsidR="00FA12BE" w:rsidRPr="00FA12BE" w:rsidRDefault="00FA12BE" w:rsidP="00FA12BE">
      <w:pPr>
        <w:spacing w:after="0" w:line="240" w:lineRule="auto"/>
      </w:pPr>
      <w:r w:rsidRPr="00FA12BE">
        <w:tab/>
      </w:r>
      <w:r w:rsidRPr="00FA12BE">
        <w:tab/>
        <w:t>Free drug in human serum</w:t>
      </w:r>
    </w:p>
    <w:p w:rsidR="00FA12BE" w:rsidRPr="00FA12BE" w:rsidRDefault="00FA12BE" w:rsidP="00FA12BE">
      <w:pPr>
        <w:spacing w:after="0" w:line="240" w:lineRule="auto"/>
      </w:pPr>
      <w:r w:rsidRPr="00FA12BE">
        <w:tab/>
      </w:r>
      <w:r w:rsidRPr="00FA12BE">
        <w:tab/>
        <w:t>Drug activity assays</w:t>
      </w:r>
    </w:p>
    <w:p w:rsidR="00FA12BE" w:rsidRPr="00FA12BE" w:rsidRDefault="00FA12BE" w:rsidP="00FA12BE">
      <w:pPr>
        <w:spacing w:after="0" w:line="240" w:lineRule="auto"/>
        <w:rPr>
          <w:u w:val="single"/>
        </w:rPr>
      </w:pPr>
      <w:r w:rsidRPr="00FA12BE">
        <w:tab/>
      </w:r>
      <w:r w:rsidRPr="00FA12BE">
        <w:rPr>
          <w:u w:val="single"/>
        </w:rPr>
        <w:t>Biological Assays</w:t>
      </w:r>
    </w:p>
    <w:p w:rsidR="00FA12BE" w:rsidRPr="00FA12BE" w:rsidRDefault="00FA12BE" w:rsidP="00FA12BE">
      <w:pPr>
        <w:spacing w:after="0" w:line="240" w:lineRule="auto"/>
      </w:pPr>
      <w:r w:rsidRPr="00FA12BE">
        <w:tab/>
      </w:r>
      <w:r w:rsidRPr="00FA12BE">
        <w:tab/>
        <w:t xml:space="preserve">Drug Potency </w:t>
      </w:r>
    </w:p>
    <w:p w:rsidR="00FA12BE" w:rsidRDefault="00FA12BE" w:rsidP="00FA12BE">
      <w:pPr>
        <w:spacing w:after="0" w:line="240" w:lineRule="auto"/>
      </w:pPr>
      <w:r w:rsidRPr="00FA12BE">
        <w:tab/>
      </w:r>
      <w:r w:rsidRPr="00FA12BE">
        <w:tab/>
        <w:t>Neutralizing Antibody</w:t>
      </w:r>
    </w:p>
    <w:p w:rsidR="00FA12BE" w:rsidRDefault="00FA12BE" w:rsidP="00FA12BE">
      <w:pPr>
        <w:spacing w:after="0" w:line="240" w:lineRule="auto"/>
      </w:pPr>
    </w:p>
    <w:p w:rsidR="00FA12BE" w:rsidRPr="00FA12BE" w:rsidRDefault="00FA12BE" w:rsidP="00FA12BE">
      <w:pPr>
        <w:spacing w:after="0" w:line="240" w:lineRule="auto"/>
      </w:pPr>
      <w:r w:rsidRPr="00FA12BE">
        <w:t>●</w:t>
      </w:r>
      <w:r w:rsidRPr="00FA12BE">
        <w:tab/>
        <w:t>Method/Instrument Validation</w:t>
      </w:r>
    </w:p>
    <w:p w:rsidR="00FA12BE" w:rsidRPr="00FA12BE" w:rsidRDefault="00FA12BE" w:rsidP="00FA12BE">
      <w:pPr>
        <w:spacing w:after="0" w:line="240" w:lineRule="auto"/>
      </w:pPr>
      <w:r w:rsidRPr="00FA12BE">
        <w:tab/>
      </w:r>
      <w:r w:rsidRPr="00FA12BE">
        <w:tab/>
        <w:t>Prepared method qualification/validation protocols and reports</w:t>
      </w:r>
    </w:p>
    <w:p w:rsidR="00FA12BE" w:rsidRPr="00FA12BE" w:rsidRDefault="00FA12BE" w:rsidP="00FA12BE">
      <w:pPr>
        <w:spacing w:after="0" w:line="240" w:lineRule="auto"/>
      </w:pPr>
      <w:r w:rsidRPr="00FA12BE">
        <w:tab/>
      </w:r>
      <w:r w:rsidRPr="00FA12BE">
        <w:tab/>
        <w:t>Prepared instrument qualification protocols and reports</w:t>
      </w:r>
    </w:p>
    <w:p w:rsidR="00FA12BE" w:rsidRPr="00FA12BE" w:rsidRDefault="00FA12BE" w:rsidP="00FA12BE">
      <w:pPr>
        <w:spacing w:after="0" w:line="240" w:lineRule="auto"/>
      </w:pPr>
      <w:r w:rsidRPr="00FA12BE">
        <w:tab/>
      </w:r>
      <w:r w:rsidRPr="00FA12BE">
        <w:tab/>
        <w:t>Reviewed method and instrument validation packages for compliance</w:t>
      </w:r>
    </w:p>
    <w:p w:rsidR="00FA12BE" w:rsidRPr="00FA12BE" w:rsidRDefault="00FA12BE" w:rsidP="00FA12BE">
      <w:pPr>
        <w:spacing w:after="0" w:line="240" w:lineRule="auto"/>
      </w:pPr>
      <w:r w:rsidRPr="00FA12BE">
        <w:tab/>
      </w:r>
      <w:r w:rsidRPr="00FA12BE">
        <w:tab/>
        <w:t>Prepared gap analyses with remediation plans</w:t>
      </w:r>
    </w:p>
    <w:p w:rsidR="00FA12BE" w:rsidRPr="00FA12BE" w:rsidRDefault="00FA12BE" w:rsidP="00FA12BE">
      <w:pPr>
        <w:spacing w:after="0" w:line="240" w:lineRule="auto"/>
      </w:pPr>
      <w:r w:rsidRPr="00FA12BE">
        <w:tab/>
      </w:r>
      <w:r w:rsidRPr="00FA12BE">
        <w:tab/>
      </w:r>
    </w:p>
    <w:p w:rsidR="00FA12BE" w:rsidRPr="00FA12BE" w:rsidRDefault="00FA12BE" w:rsidP="00FA12BE">
      <w:pPr>
        <w:spacing w:after="0" w:line="240" w:lineRule="auto"/>
      </w:pPr>
      <w:r w:rsidRPr="00FA12BE">
        <w:t>●</w:t>
      </w:r>
      <w:r w:rsidRPr="00FA12BE">
        <w:tab/>
        <w:t>Formulation Development (liquid dosage form for biologics)</w:t>
      </w:r>
    </w:p>
    <w:p w:rsidR="00FA12BE" w:rsidRDefault="00FA12BE" w:rsidP="00FA12BE">
      <w:pPr>
        <w:spacing w:after="0" w:line="240" w:lineRule="auto"/>
      </w:pPr>
      <w:r w:rsidRPr="00FA12BE">
        <w:tab/>
      </w:r>
      <w:r w:rsidRPr="00FA12BE">
        <w:tab/>
        <w:t>Excipient Selection</w:t>
      </w:r>
    </w:p>
    <w:p w:rsidR="00FA12BE" w:rsidRPr="00FA12BE" w:rsidRDefault="00FA12BE" w:rsidP="00FA12BE">
      <w:pPr>
        <w:spacing w:after="0" w:line="240" w:lineRule="auto"/>
      </w:pPr>
      <w:r w:rsidRPr="00FA12BE">
        <w:tab/>
      </w:r>
      <w:r w:rsidRPr="00FA12BE">
        <w:tab/>
      </w:r>
      <w:proofErr w:type="gramStart"/>
      <w:r w:rsidRPr="00FA12BE">
        <w:t>pH</w:t>
      </w:r>
      <w:proofErr w:type="gramEnd"/>
      <w:r w:rsidRPr="00FA12BE">
        <w:t xml:space="preserve"> and Solubility Optimum</w:t>
      </w:r>
    </w:p>
    <w:p w:rsidR="00FA12BE" w:rsidRPr="00FA12BE" w:rsidRDefault="00FA12BE" w:rsidP="00FA12BE">
      <w:pPr>
        <w:spacing w:after="0" w:line="240" w:lineRule="auto"/>
      </w:pPr>
      <w:r w:rsidRPr="00FA12BE">
        <w:tab/>
      </w:r>
      <w:r w:rsidRPr="00FA12BE">
        <w:tab/>
        <w:t>Design of Experiments</w:t>
      </w:r>
    </w:p>
    <w:p w:rsidR="00FA12BE" w:rsidRPr="00FA12BE" w:rsidRDefault="00FA12BE" w:rsidP="00FA12BE">
      <w:pPr>
        <w:spacing w:after="0" w:line="240" w:lineRule="auto"/>
      </w:pPr>
    </w:p>
    <w:p w:rsidR="00FA12BE" w:rsidRPr="00FA12BE" w:rsidRDefault="00FA12BE" w:rsidP="00FA12BE">
      <w:pPr>
        <w:spacing w:after="0" w:line="240" w:lineRule="auto"/>
      </w:pPr>
      <w:r w:rsidRPr="00FA12BE">
        <w:t>●</w:t>
      </w:r>
      <w:r w:rsidRPr="00FA12BE">
        <w:tab/>
        <w:t>Process Validation</w:t>
      </w:r>
    </w:p>
    <w:p w:rsidR="00FA12BE" w:rsidRPr="00FA12BE" w:rsidRDefault="00FA12BE" w:rsidP="00FA12BE">
      <w:pPr>
        <w:spacing w:after="0" w:line="240" w:lineRule="auto"/>
      </w:pPr>
      <w:r w:rsidRPr="00FA12BE">
        <w:tab/>
      </w:r>
      <w:r w:rsidRPr="00FA12BE">
        <w:tab/>
        <w:t>Sampling plans</w:t>
      </w:r>
    </w:p>
    <w:p w:rsidR="00FA12BE" w:rsidRPr="00FA12BE" w:rsidRDefault="00FA12BE" w:rsidP="00FA12BE">
      <w:pPr>
        <w:spacing w:after="0" w:line="240" w:lineRule="auto"/>
      </w:pPr>
      <w:r w:rsidRPr="00FA12BE">
        <w:tab/>
      </w:r>
      <w:r w:rsidRPr="00FA12BE">
        <w:tab/>
        <w:t>Analytical methods validation/compliance</w:t>
      </w:r>
    </w:p>
    <w:p w:rsidR="00FA12BE" w:rsidRPr="00FA12BE" w:rsidRDefault="00FA12BE" w:rsidP="00FA12BE">
      <w:pPr>
        <w:spacing w:after="0" w:line="240" w:lineRule="auto"/>
      </w:pPr>
      <w:r w:rsidRPr="00FA12BE">
        <w:tab/>
      </w:r>
      <w:r w:rsidRPr="00FA12BE">
        <w:tab/>
        <w:t>Acceptance criteria review and justifications</w:t>
      </w:r>
    </w:p>
    <w:p w:rsidR="00FA12BE" w:rsidRDefault="00FA12BE" w:rsidP="00FA12BE">
      <w:pPr>
        <w:spacing w:after="0" w:line="240" w:lineRule="auto"/>
      </w:pPr>
    </w:p>
    <w:p w:rsidR="00FA12BE" w:rsidRPr="00FA12BE" w:rsidRDefault="00FA12BE" w:rsidP="00FA12BE">
      <w:pPr>
        <w:spacing w:after="0" w:line="240" w:lineRule="auto"/>
      </w:pPr>
      <w:r w:rsidRPr="00FA12BE">
        <w:t>●</w:t>
      </w:r>
      <w:r w:rsidRPr="00FA12BE">
        <w:tab/>
        <w:t>Interim Management</w:t>
      </w:r>
    </w:p>
    <w:p w:rsidR="00FA12BE" w:rsidRPr="00FA12BE" w:rsidRDefault="00FA12BE" w:rsidP="00FA12BE">
      <w:pPr>
        <w:spacing w:after="0" w:line="240" w:lineRule="auto"/>
      </w:pPr>
      <w:r w:rsidRPr="00FA12BE">
        <w:tab/>
      </w:r>
      <w:r>
        <w:tab/>
      </w:r>
      <w:r w:rsidRPr="00FA12BE">
        <w:t xml:space="preserve">Quality Control Manager </w:t>
      </w:r>
    </w:p>
    <w:p w:rsidR="00FA12BE" w:rsidRPr="00FA12BE" w:rsidRDefault="00FA12BE" w:rsidP="00FA12BE">
      <w:pPr>
        <w:spacing w:after="0" w:line="240" w:lineRule="auto"/>
        <w:ind w:left="720" w:firstLine="720"/>
      </w:pPr>
      <w:r w:rsidRPr="00FA12BE">
        <w:t>Analytical Development Director</w:t>
      </w:r>
    </w:p>
    <w:p w:rsidR="00FA12BE" w:rsidRPr="00FA12BE" w:rsidRDefault="00FA12BE" w:rsidP="00FA12BE">
      <w:pPr>
        <w:spacing w:after="0" w:line="240" w:lineRule="auto"/>
      </w:pPr>
      <w:r>
        <w:tab/>
      </w:r>
      <w:r>
        <w:tab/>
      </w:r>
      <w:r w:rsidRPr="00FA12BE">
        <w:t>Formulation Development Manager</w:t>
      </w:r>
    </w:p>
    <w:p w:rsidR="00FA12BE" w:rsidRPr="00FA12BE" w:rsidRDefault="00FA12BE" w:rsidP="00FA12BE">
      <w:pPr>
        <w:spacing w:after="0" w:line="240" w:lineRule="auto"/>
      </w:pPr>
      <w:r w:rsidRPr="00FA12BE">
        <w:tab/>
      </w:r>
      <w:r w:rsidRPr="00FA12BE">
        <w:tab/>
      </w:r>
    </w:p>
    <w:p w:rsidR="00FA12BE" w:rsidRPr="00FA12BE" w:rsidRDefault="00FA12BE" w:rsidP="00FA12BE">
      <w:pPr>
        <w:spacing w:after="0" w:line="240" w:lineRule="auto"/>
      </w:pPr>
      <w:r w:rsidRPr="00FA12BE">
        <w:t>●</w:t>
      </w:r>
      <w:r w:rsidRPr="00FA12BE">
        <w:tab/>
        <w:t>CRO Management</w:t>
      </w:r>
    </w:p>
    <w:p w:rsidR="00FA12BE" w:rsidRPr="00FA12BE" w:rsidRDefault="00FA12BE" w:rsidP="00FA12BE">
      <w:pPr>
        <w:spacing w:after="0" w:line="240" w:lineRule="auto"/>
      </w:pPr>
      <w:r w:rsidRPr="00FA12BE">
        <w:tab/>
      </w:r>
      <w:r w:rsidRPr="00FA12BE">
        <w:tab/>
        <w:t>PK, Anti-Drug Antibodies, and Neutralizing Antibody Assays</w:t>
      </w:r>
    </w:p>
    <w:p w:rsidR="00FA12BE" w:rsidRPr="00FA12BE" w:rsidRDefault="00FA12BE" w:rsidP="00FA12BE">
      <w:pPr>
        <w:spacing w:after="0" w:line="240" w:lineRule="auto"/>
      </w:pPr>
      <w:r w:rsidRPr="00FA12BE">
        <w:tab/>
      </w:r>
      <w:r w:rsidRPr="00FA12BE">
        <w:tab/>
        <w:t>Manage interface for three clients</w:t>
      </w:r>
    </w:p>
    <w:p w:rsidR="00FA12BE" w:rsidRPr="00FA12BE" w:rsidRDefault="00FA12BE" w:rsidP="00FA12BE">
      <w:pPr>
        <w:spacing w:after="0" w:line="240" w:lineRule="auto"/>
      </w:pPr>
      <w:r w:rsidRPr="00FA12BE">
        <w:tab/>
      </w:r>
      <w:r w:rsidRPr="00FA12BE">
        <w:tab/>
        <w:t>Manage interface at three CROs</w:t>
      </w:r>
    </w:p>
    <w:p w:rsidR="00FA12BE" w:rsidRPr="00FA12BE" w:rsidRDefault="00FA12BE" w:rsidP="00FA12BE">
      <w:pPr>
        <w:spacing w:after="0" w:line="240" w:lineRule="auto"/>
      </w:pPr>
      <w:r w:rsidRPr="00FA12BE">
        <w:tab/>
      </w:r>
      <w:r w:rsidRPr="00FA12BE">
        <w:tab/>
      </w:r>
      <w:proofErr w:type="gramStart"/>
      <w:r w:rsidRPr="00FA12BE">
        <w:t>cGMP</w:t>
      </w:r>
      <w:proofErr w:type="gramEnd"/>
      <w:r w:rsidRPr="00FA12BE">
        <w:t xml:space="preserve"> and GLP operations</w:t>
      </w:r>
    </w:p>
    <w:p w:rsidR="00FA12BE" w:rsidRPr="00FA12BE" w:rsidRDefault="00FA12BE" w:rsidP="00FA12BE">
      <w:pPr>
        <w:spacing w:after="0" w:line="240" w:lineRule="auto"/>
      </w:pPr>
      <w:bookmarkStart w:id="0" w:name="_GoBack"/>
      <w:bookmarkEnd w:id="0"/>
    </w:p>
    <w:p w:rsidR="00FA12BE" w:rsidRPr="00FA12BE" w:rsidRDefault="00FA12BE" w:rsidP="00FA12BE">
      <w:pPr>
        <w:spacing w:after="0" w:line="240" w:lineRule="auto"/>
      </w:pPr>
      <w:r w:rsidRPr="00FA12BE">
        <w:t>●</w:t>
      </w:r>
      <w:r w:rsidRPr="00FA12BE">
        <w:tab/>
        <w:t>Regulatory Submissions</w:t>
      </w:r>
    </w:p>
    <w:p w:rsidR="00FA12BE" w:rsidRPr="00FA12BE" w:rsidRDefault="00FA12BE" w:rsidP="00FA12BE">
      <w:pPr>
        <w:spacing w:after="0" w:line="240" w:lineRule="auto"/>
      </w:pPr>
      <w:r w:rsidRPr="00FA12BE">
        <w:tab/>
      </w:r>
      <w:r w:rsidRPr="00FA12BE">
        <w:tab/>
        <w:t>CMC sections for several INDs</w:t>
      </w:r>
    </w:p>
    <w:p w:rsidR="00FA12BE" w:rsidRPr="00FA12BE" w:rsidRDefault="00FA12BE" w:rsidP="00FA12BE">
      <w:pPr>
        <w:spacing w:after="0" w:line="240" w:lineRule="auto"/>
      </w:pPr>
      <w:r w:rsidRPr="00FA12BE">
        <w:tab/>
      </w:r>
      <w:r w:rsidRPr="00FA12BE">
        <w:tab/>
        <w:t>CTD formatted CMC sections for BLA</w:t>
      </w:r>
      <w:r w:rsidRPr="00FA12BE">
        <w:tab/>
      </w:r>
    </w:p>
    <w:sectPr w:rsidR="00FA12BE" w:rsidRPr="00FA1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BE"/>
    <w:rsid w:val="00FA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2014-12-19T18:23:00Z</dcterms:created>
  <dcterms:modified xsi:type="dcterms:W3CDTF">2014-12-19T18:30:00Z</dcterms:modified>
</cp:coreProperties>
</file>